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70" w:rsidRDefault="005B6B70" w:rsidP="00500A54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lang w:val="uk-UA" w:eastAsia="uk-UA"/>
        </w:rPr>
      </w:pPr>
      <w:bookmarkStart w:id="0" w:name="_GoBack"/>
      <w:bookmarkEnd w:id="0"/>
    </w:p>
    <w:p w:rsidR="00500A54" w:rsidRPr="0075557A" w:rsidRDefault="00CE3DFF" w:rsidP="0075557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>
        <w:rPr>
          <w:lang w:val="uk-UA" w:eastAsia="uk-UA"/>
        </w:rPr>
        <w:t xml:space="preserve">           </w:t>
      </w:r>
      <w:r w:rsidR="00500A54">
        <w:rPr>
          <w:lang w:eastAsia="uk-UA"/>
        </w:rPr>
        <w:t xml:space="preserve">                                                                                                   </w:t>
      </w:r>
      <w:r w:rsidR="00D66475">
        <w:rPr>
          <w:lang w:val="uk-UA" w:eastAsia="uk-UA"/>
        </w:rPr>
        <w:t xml:space="preserve">   </w:t>
      </w:r>
      <w:r w:rsidR="00500A54">
        <w:rPr>
          <w:lang w:eastAsia="uk-UA"/>
        </w:rPr>
        <w:t xml:space="preserve">   </w:t>
      </w:r>
      <w:r w:rsidR="005B6B70">
        <w:rPr>
          <w:lang w:val="uk-UA" w:eastAsia="uk-UA"/>
        </w:rPr>
        <w:t xml:space="preserve">  </w:t>
      </w:r>
      <w:r w:rsidR="00500A54">
        <w:rPr>
          <w:lang w:eastAsia="uk-UA"/>
        </w:rPr>
        <w:t xml:space="preserve">    </w:t>
      </w:r>
      <w:r w:rsidR="00500A54" w:rsidRPr="0075557A">
        <w:rPr>
          <w:rFonts w:ascii="Times New Roman CYR" w:hAnsi="Times New Roman CYR" w:cs="Times New Roman CYR"/>
          <w:sz w:val="24"/>
          <w:szCs w:val="24"/>
          <w:lang w:val="uk-UA" w:eastAsia="uk-UA"/>
        </w:rPr>
        <w:t>Додаток до рішення</w:t>
      </w:r>
    </w:p>
    <w:p w:rsidR="00500A54" w:rsidRPr="0075557A" w:rsidRDefault="00500A54" w:rsidP="0075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75557A">
        <w:rPr>
          <w:sz w:val="24"/>
          <w:szCs w:val="24"/>
          <w:lang w:eastAsia="uk-UA"/>
        </w:rPr>
        <w:t xml:space="preserve">                                                                                                           </w:t>
      </w:r>
      <w:r w:rsidRPr="0075557A">
        <w:rPr>
          <w:rFonts w:ascii="Times New Roman CYR" w:hAnsi="Times New Roman CYR" w:cs="Times New Roman CYR"/>
          <w:sz w:val="24"/>
          <w:szCs w:val="24"/>
          <w:lang w:val="uk-UA" w:eastAsia="uk-UA"/>
        </w:rPr>
        <w:t>Городищенської сільської ради</w:t>
      </w:r>
    </w:p>
    <w:p w:rsidR="00500A54" w:rsidRPr="0075557A" w:rsidRDefault="00500A54" w:rsidP="00755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75557A">
        <w:rPr>
          <w:sz w:val="24"/>
          <w:szCs w:val="24"/>
          <w:lang w:eastAsia="uk-UA"/>
        </w:rPr>
        <w:t xml:space="preserve">                                                                                             </w:t>
      </w:r>
      <w:r w:rsidR="002537C1">
        <w:rPr>
          <w:sz w:val="24"/>
          <w:szCs w:val="24"/>
          <w:lang w:val="uk-UA" w:eastAsia="uk-UA"/>
        </w:rPr>
        <w:t xml:space="preserve">  </w:t>
      </w:r>
      <w:r w:rsidRPr="0075557A">
        <w:rPr>
          <w:sz w:val="24"/>
          <w:szCs w:val="24"/>
          <w:lang w:eastAsia="uk-UA"/>
        </w:rPr>
        <w:t xml:space="preserve">     </w:t>
      </w:r>
      <w:r w:rsidR="00D66475" w:rsidRPr="0075557A">
        <w:rPr>
          <w:rFonts w:ascii="Times New Roman CYR" w:hAnsi="Times New Roman CYR" w:cs="Times New Roman CYR"/>
          <w:sz w:val="24"/>
          <w:szCs w:val="24"/>
          <w:lang w:val="uk-UA" w:eastAsia="uk-UA"/>
        </w:rPr>
        <w:t>від 22.12.2021 року № 13/</w:t>
      </w:r>
      <w:r w:rsidR="0075557A" w:rsidRPr="0075557A">
        <w:rPr>
          <w:rFonts w:ascii="Times New Roman CYR" w:hAnsi="Times New Roman CYR" w:cs="Times New Roman CYR"/>
          <w:sz w:val="24"/>
          <w:szCs w:val="24"/>
          <w:lang w:val="uk-UA" w:eastAsia="uk-UA"/>
        </w:rPr>
        <w:t>22</w:t>
      </w: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right"/>
        <w:rPr>
          <w:rFonts w:ascii="Times New Roman" w:hAnsi="Times New Roman" w:cs="Times New Roman"/>
          <w:lang w:eastAsia="uk-UA"/>
        </w:rPr>
      </w:pP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56"/>
          <w:szCs w:val="56"/>
          <w:lang w:eastAsia="uk-UA"/>
        </w:rPr>
      </w:pP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56"/>
          <w:szCs w:val="56"/>
          <w:lang w:eastAsia="uk-UA"/>
        </w:rPr>
      </w:pP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b/>
          <w:bCs/>
          <w:sz w:val="56"/>
          <w:szCs w:val="56"/>
          <w:lang w:eastAsia="uk-UA"/>
        </w:rPr>
      </w:pP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</w:pPr>
      <w:r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  <w:t xml:space="preserve">Цільова програма </w:t>
      </w:r>
    </w:p>
    <w:p w:rsidR="00500A54" w:rsidRDefault="00500A54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</w:pPr>
      <w:r>
        <w:rPr>
          <w:b/>
          <w:bCs/>
          <w:sz w:val="56"/>
          <w:szCs w:val="56"/>
          <w:lang w:eastAsia="uk-UA"/>
        </w:rPr>
        <w:t>«</w:t>
      </w:r>
      <w:r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  <w:t>Розвиток первинної медико – санітарної допомоги</w:t>
      </w:r>
    </w:p>
    <w:p w:rsidR="00500A54" w:rsidRDefault="00D66475" w:rsidP="00500A54">
      <w:pPr>
        <w:suppressAutoHyphens/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b/>
          <w:bCs/>
          <w:sz w:val="56"/>
          <w:szCs w:val="56"/>
          <w:lang w:eastAsia="uk-UA"/>
        </w:rPr>
      </w:pPr>
      <w:r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  <w:t>на 2022</w:t>
      </w:r>
      <w:r w:rsidR="00500A54">
        <w:rPr>
          <w:rFonts w:ascii="Times New Roman CYR" w:hAnsi="Times New Roman CYR" w:cs="Times New Roman CYR"/>
          <w:b/>
          <w:bCs/>
          <w:sz w:val="56"/>
          <w:szCs w:val="56"/>
          <w:lang w:val="uk-UA" w:eastAsia="uk-UA"/>
        </w:rPr>
        <w:t xml:space="preserve"> рік</w:t>
      </w:r>
      <w:r w:rsidR="00500A54">
        <w:rPr>
          <w:b/>
          <w:bCs/>
          <w:sz w:val="56"/>
          <w:szCs w:val="56"/>
          <w:lang w:eastAsia="uk-UA"/>
        </w:rPr>
        <w:t>»</w:t>
      </w:r>
    </w:p>
    <w:p w:rsidR="00500A54" w:rsidRDefault="00500A54" w:rsidP="00500A54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500A54" w:rsidRDefault="00500A54" w:rsidP="00500A54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057C5" w:rsidRPr="00D86443" w:rsidRDefault="00A057C5" w:rsidP="009E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первинної</w:t>
      </w:r>
      <w:proofErr w:type="spellEnd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</w:t>
      </w:r>
      <w:proofErr w:type="spellStart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</w:t>
      </w:r>
      <w:proofErr w:type="gramEnd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ітарної</w:t>
      </w:r>
      <w:proofErr w:type="spellEnd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E3051"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Городищенської</w:t>
      </w:r>
      <w:proofErr w:type="spellEnd"/>
      <w:r w:rsidR="006E3051"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сільської </w:t>
      </w:r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 на 20</w:t>
      </w:r>
      <w:r w:rsidR="00D66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="00D86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Start"/>
      <w:r w:rsidR="00D864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ік</w:t>
      </w:r>
      <w:proofErr w:type="spellEnd"/>
    </w:p>
    <w:p w:rsidR="00A057C5" w:rsidRPr="009E5504" w:rsidRDefault="00A057C5" w:rsidP="009E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Паспорт програми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862"/>
        <w:gridCol w:w="4426"/>
      </w:tblGrid>
      <w:tr w:rsidR="00A057C5" w:rsidRPr="009E5504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D86443" w:rsidRDefault="006E3051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6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Городищенська</w:t>
            </w:r>
            <w:proofErr w:type="spellEnd"/>
            <w:r w:rsidR="00A057C5" w:rsidRPr="00D86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57C5" w:rsidRPr="00D86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сільська</w:t>
            </w:r>
            <w:proofErr w:type="spellEnd"/>
            <w:r w:rsidR="00A057C5" w:rsidRPr="00D864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рада </w:t>
            </w:r>
          </w:p>
        </w:tc>
      </w:tr>
      <w:tr w:rsidR="00A057C5" w:rsidRPr="009E5504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7C5" w:rsidRPr="009E5504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Співрозробники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3D20DA" w:rsidRDefault="006E3051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Городищенська</w:t>
            </w:r>
            <w:proofErr w:type="spellEnd"/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сільська</w:t>
            </w:r>
            <w:proofErr w:type="spellEnd"/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</w:t>
            </w:r>
            <w:r w:rsidR="003D2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3D2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Горохівська</w:t>
            </w:r>
            <w:proofErr w:type="spellEnd"/>
            <w:r w:rsidR="003D20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міська рада, Ківерцівська міська рада</w:t>
            </w:r>
          </w:p>
        </w:tc>
      </w:tr>
      <w:tr w:rsidR="00A057C5" w:rsidRPr="009E5504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Виконком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E3051" w:rsidRPr="009E55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 w:rsidR="006E3051" w:rsidRPr="009E55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</w:t>
            </w: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</w:p>
        </w:tc>
      </w:tr>
      <w:tr w:rsidR="00A057C5" w:rsidRPr="009E5504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6E3051" w:rsidRPr="009E55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Городищенська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сільська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</w:t>
            </w:r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057C5" w:rsidRPr="009E5504" w:rsidTr="001B7212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9E5504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D86443" w:rsidRDefault="00D66475" w:rsidP="00D8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</w:t>
            </w:r>
            <w:r w:rsidR="00A057C5" w:rsidRPr="009E5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spellStart"/>
            <w:r w:rsidR="00D86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ік</w:t>
            </w:r>
            <w:proofErr w:type="spellEnd"/>
          </w:p>
        </w:tc>
      </w:tr>
      <w:tr w:rsidR="00A057C5" w:rsidRPr="001B7212" w:rsidTr="001B7212">
        <w:trPr>
          <w:trHeight w:val="9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A057C5"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місцевих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бюджеті</w:t>
            </w:r>
            <w:proofErr w:type="gram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участь у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1B7212" w:rsidP="001B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 територіальної громади</w:t>
            </w:r>
            <w:r w:rsidR="00A057C5"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057C5"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="00A057C5"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057C5"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</w:p>
        </w:tc>
      </w:tr>
      <w:tr w:rsidR="00A057C5" w:rsidRPr="001B7212" w:rsidTr="001B7212">
        <w:trPr>
          <w:trHeight w:val="1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="00A057C5" w:rsidRPr="001B7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Загальний обсяг фінансових ресурсів, необхідних для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  <w:proofErr w:type="gram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D66475" w:rsidRDefault="00FF4BB1" w:rsidP="000C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1</w:t>
            </w:r>
            <w:r w:rsidR="000C51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6</w:t>
            </w:r>
            <w:r w:rsidR="000760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00,00 </w:t>
            </w:r>
            <w:r w:rsidR="00A057C5" w:rsidRPr="00D664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тис грн.</w:t>
            </w:r>
          </w:p>
        </w:tc>
      </w:tr>
      <w:tr w:rsidR="00A057C5" w:rsidRPr="001B7212" w:rsidTr="001B7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5" w:rsidRPr="001B7212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5" w:rsidRPr="001B7212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 сільської територіальної громади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5" w:rsidRPr="00D66475" w:rsidRDefault="00FF4BB1" w:rsidP="000C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1</w:t>
            </w:r>
            <w:r w:rsidR="000C512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6</w:t>
            </w:r>
            <w:r w:rsidR="000760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00,00 </w:t>
            </w:r>
            <w:r w:rsidR="00076083" w:rsidRPr="00D664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тис грн.</w:t>
            </w:r>
          </w:p>
        </w:tc>
      </w:tr>
      <w:tr w:rsidR="00A057C5" w:rsidRPr="001B7212" w:rsidTr="00A057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1B7212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8.2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джерела</w:t>
            </w:r>
            <w:proofErr w:type="spellEnd"/>
            <w:r w:rsidR="001B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які не суперечать </w:t>
            </w:r>
            <w:proofErr w:type="gramStart"/>
            <w:r w:rsidR="001B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чинному</w:t>
            </w:r>
            <w:proofErr w:type="gramEnd"/>
            <w:r w:rsidR="001B72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законодавству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C5" w:rsidRPr="001B7212" w:rsidRDefault="00A057C5" w:rsidP="009E5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9E5504" w:rsidRDefault="009E5504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E5504" w:rsidRDefault="009E5504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77450" w:rsidRDefault="00177450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D20DA" w:rsidRDefault="003D20DA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94E11" w:rsidRDefault="00294E11" w:rsidP="009E55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57C5" w:rsidRPr="00294E11" w:rsidRDefault="00A057C5" w:rsidP="00294E1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Визначення</w:t>
      </w:r>
      <w:proofErr w:type="spellEnd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проблем, на </w:t>
      </w:r>
      <w:proofErr w:type="spellStart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розв’язання</w:t>
      </w:r>
      <w:proofErr w:type="spellEnd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спрямована</w:t>
      </w:r>
      <w:proofErr w:type="spellEnd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  <w:proofErr w:type="spellEnd"/>
    </w:p>
    <w:p w:rsidR="00294E11" w:rsidRPr="00294E11" w:rsidRDefault="00294E11" w:rsidP="00294E11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лікувально-профілактичних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гарантований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11.07.2002 року № 955 </w:t>
      </w: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безоплатної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гарантоване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статтею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держава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доступного для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кадрове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потребам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мешканці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 такого стану справ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є,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нестача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достатньої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Ситуація ускладнюється і тим, що випускники вітчизняних медичних університетів украй неохоче погоджуються працювати у сільській місцевості, а держава упродовж тривалого періоду часу виявляється не спроможною розробити дієві механізми вирішення цієї проблеми.</w:t>
      </w:r>
    </w:p>
    <w:p w:rsidR="00DF717E" w:rsidRPr="00294E11" w:rsidRDefault="00DF717E" w:rsidP="00294E1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—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DF717E" w:rsidRPr="00294E11" w:rsidRDefault="00DF717E" w:rsidP="00294E11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№1013-Р «Про схвалення Концепції реформи фінансування системи охорони здоров’я» , про початок реорганізації закладів охорони здоров’я в комунальні некомерційні медичні підприємства.</w:t>
      </w:r>
    </w:p>
    <w:p w:rsidR="00983290" w:rsidRPr="00294E11" w:rsidRDefault="00983290" w:rsidP="00D66475">
      <w:pPr>
        <w:tabs>
          <w:tab w:val="left" w:pos="0"/>
          <w:tab w:val="left" w:pos="1830"/>
          <w:tab w:val="left" w:pos="316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294E11">
        <w:rPr>
          <w:rFonts w:ascii="Times New Roman" w:hAnsi="Times New Roman" w:cs="Times New Roman"/>
          <w:sz w:val="28"/>
          <w:szCs w:val="28"/>
          <w:lang w:val="uk-UA"/>
        </w:rPr>
        <w:t>Основним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4E11">
        <w:rPr>
          <w:rFonts w:ascii="Times New Roman" w:hAnsi="Times New Roman" w:cs="Times New Roman"/>
          <w:sz w:val="28"/>
          <w:szCs w:val="28"/>
          <w:lang w:val="uk-UA"/>
        </w:rPr>
        <w:t xml:space="preserve"> медичним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4E11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94E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4E11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первинної медичної допомоги мешканцям визначено комунальне некомерційне підприємство «Луцький районний центр первинної медико-санітарної допомоги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r w:rsidR="009E5504" w:rsidRPr="00294E1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3051" w:rsidRPr="00294E11">
        <w:rPr>
          <w:rFonts w:ascii="Times New Roman" w:hAnsi="Times New Roman" w:cs="Times New Roman"/>
          <w:sz w:val="28"/>
          <w:szCs w:val="28"/>
          <w:lang w:val="uk-UA"/>
        </w:rPr>
        <w:t xml:space="preserve">Горохівський районний центр первинної медико-санітарної допомоги». </w:t>
      </w:r>
      <w:r w:rsidRPr="00294E11">
        <w:rPr>
          <w:rFonts w:ascii="Times New Roman" w:hAnsi="Times New Roman" w:cs="Times New Roman"/>
          <w:sz w:val="28"/>
          <w:szCs w:val="28"/>
          <w:lang w:val="uk-UA"/>
        </w:rPr>
        <w:t>На даний час підприємство є профільним медичним закладом, забезпечено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</w:t>
      </w:r>
      <w:r w:rsidRPr="00294E1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 </w:t>
      </w:r>
    </w:p>
    <w:p w:rsidR="00983290" w:rsidRPr="00294E11" w:rsidRDefault="00983290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</w:t>
      </w:r>
      <w:r w:rsidR="006E3051" w:rsidRPr="00294E11">
        <w:rPr>
          <w:rFonts w:ascii="Times New Roman" w:hAnsi="Times New Roman"/>
          <w:sz w:val="28"/>
          <w:szCs w:val="28"/>
          <w:lang w:val="uk-UA"/>
        </w:rPr>
        <w:t>омунальних</w:t>
      </w:r>
      <w:r w:rsidRPr="00294E11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6E3051" w:rsidRPr="00294E11">
        <w:rPr>
          <w:rFonts w:ascii="Times New Roman" w:hAnsi="Times New Roman"/>
          <w:sz w:val="28"/>
          <w:szCs w:val="28"/>
          <w:lang w:val="uk-UA"/>
        </w:rPr>
        <w:t>их</w:t>
      </w:r>
      <w:r w:rsidRPr="00294E11">
        <w:rPr>
          <w:rFonts w:ascii="Times New Roman" w:hAnsi="Times New Roman"/>
          <w:sz w:val="28"/>
          <w:szCs w:val="28"/>
          <w:lang w:val="uk-UA"/>
        </w:rPr>
        <w:t xml:space="preserve"> підприємств  є надання</w:t>
      </w:r>
      <w:r w:rsidR="00FF0326" w:rsidRPr="00294E11">
        <w:rPr>
          <w:rFonts w:ascii="Times New Roman" w:hAnsi="Times New Roman"/>
          <w:sz w:val="28"/>
          <w:szCs w:val="28"/>
          <w:lang w:val="uk-UA"/>
        </w:rPr>
        <w:t xml:space="preserve"> первинної</w:t>
      </w:r>
      <w:r w:rsidRPr="00294E11">
        <w:rPr>
          <w:rFonts w:ascii="Times New Roman" w:hAnsi="Times New Roman"/>
          <w:sz w:val="28"/>
          <w:szCs w:val="28"/>
          <w:lang w:val="uk-UA"/>
        </w:rPr>
        <w:t xml:space="preserve"> медичної допомоги,</w:t>
      </w:r>
      <w:r w:rsidR="00FF0326" w:rsidRPr="00294E11">
        <w:rPr>
          <w:rFonts w:ascii="Times New Roman" w:hAnsi="Times New Roman"/>
          <w:sz w:val="28"/>
          <w:szCs w:val="28"/>
          <w:lang w:val="uk-UA"/>
        </w:rPr>
        <w:t xml:space="preserve">згідно наказів МОЗ </w:t>
      </w:r>
      <w:r w:rsidR="00FF0326" w:rsidRPr="00294E11">
        <w:rPr>
          <w:rFonts w:ascii="Times New Roman" w:hAnsi="Times New Roman"/>
          <w:sz w:val="28"/>
          <w:szCs w:val="28"/>
          <w:lang w:val="uk-UA"/>
        </w:rPr>
        <w:lastRenderedPageBreak/>
        <w:t>№504,503,</w:t>
      </w:r>
      <w:r w:rsidRPr="00294E11">
        <w:rPr>
          <w:rFonts w:ascii="Times New Roman" w:hAnsi="Times New Roman"/>
          <w:sz w:val="28"/>
          <w:szCs w:val="28"/>
          <w:lang w:val="uk-UA"/>
        </w:rPr>
        <w:t xml:space="preserve"> провадження господарської та іншої діяльності відпов</w:t>
      </w:r>
      <w:r w:rsidR="00C9014A" w:rsidRPr="00294E11">
        <w:rPr>
          <w:rFonts w:ascii="Times New Roman" w:hAnsi="Times New Roman"/>
          <w:sz w:val="28"/>
          <w:szCs w:val="28"/>
          <w:lang w:val="uk-UA"/>
        </w:rPr>
        <w:t>ідно законодавчих актів України, та Постанови Кабінету Мі</w:t>
      </w:r>
      <w:r w:rsidR="00454677" w:rsidRPr="00294E11">
        <w:rPr>
          <w:rFonts w:ascii="Times New Roman" w:hAnsi="Times New Roman"/>
          <w:sz w:val="28"/>
          <w:szCs w:val="28"/>
          <w:lang w:val="uk-UA"/>
        </w:rPr>
        <w:t>ністрів від 17.08.1998р. №1303 «</w:t>
      </w:r>
      <w:r w:rsidR="00C9014A" w:rsidRPr="00294E11">
        <w:rPr>
          <w:rFonts w:ascii="Times New Roman" w:hAnsi="Times New Roman"/>
          <w:sz w:val="28"/>
          <w:szCs w:val="28"/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 лікування окремих груп населення та за певними категоріями захворювань»: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 xml:space="preserve">— здійснення медичної практики для безпосереднього забезпечення медичного  обслуговування  населення, шляхом надання йому кваліфікованої планової первинної медико-санітарної допомоги, у відповідності до здійснення фінансування з </w:t>
      </w:r>
      <w:r w:rsidR="00F628B1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294E11">
        <w:rPr>
          <w:rFonts w:ascii="Times New Roman" w:hAnsi="Times New Roman"/>
          <w:sz w:val="28"/>
          <w:szCs w:val="28"/>
          <w:lang w:val="uk-UA"/>
        </w:rPr>
        <w:t>бюджету шляхом надання фінансової підтримки підприємства;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удосконалення лікувального процесу;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створення та оновлення інформаційної бази даних пролікованих хворих у медичному підприємстві;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монтаж, ремонт і технічне обслуговування медичної техніки;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здача майна в оренду, в тому числі нерухомого;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професійна діяльність у сфері надання соціальних послуг;</w:t>
      </w:r>
    </w:p>
    <w:p w:rsidR="00DF717E" w:rsidRPr="00294E11" w:rsidRDefault="00DF717E" w:rsidP="00D66475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впровадження нових методів лікування;</w:t>
      </w:r>
    </w:p>
    <w:p w:rsidR="00DF717E" w:rsidRDefault="00DF717E" w:rsidP="00D66475">
      <w:pPr>
        <w:pStyle w:val="a8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94E11">
        <w:rPr>
          <w:rFonts w:ascii="Times New Roman" w:hAnsi="Times New Roman"/>
          <w:sz w:val="28"/>
          <w:szCs w:val="28"/>
          <w:lang w:val="uk-UA"/>
        </w:rPr>
        <w:t>— участь у форумах, конференціях, нарадах, семіна</w:t>
      </w:r>
      <w:r w:rsidR="00454677" w:rsidRPr="00294E11">
        <w:rPr>
          <w:rFonts w:ascii="Times New Roman" w:hAnsi="Times New Roman"/>
          <w:sz w:val="28"/>
          <w:szCs w:val="28"/>
          <w:lang w:val="uk-UA"/>
        </w:rPr>
        <w:t>рах, виставках та інших заходах;</w:t>
      </w:r>
    </w:p>
    <w:p w:rsidR="00454677" w:rsidRPr="00294E11" w:rsidRDefault="00CE5542" w:rsidP="00D66475">
      <w:pPr>
        <w:pStyle w:val="a8"/>
        <w:numPr>
          <w:ilvl w:val="0"/>
          <w:numId w:val="7"/>
        </w:numPr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D5C" w:rsidRPr="00294E11">
        <w:rPr>
          <w:rFonts w:ascii="Times New Roman" w:hAnsi="Times New Roman"/>
          <w:sz w:val="28"/>
          <w:szCs w:val="28"/>
          <w:lang w:val="uk-UA"/>
        </w:rPr>
        <w:t>б</w:t>
      </w:r>
      <w:r w:rsidR="00454677" w:rsidRPr="00294E11">
        <w:rPr>
          <w:rFonts w:ascii="Times New Roman" w:hAnsi="Times New Roman"/>
          <w:sz w:val="28"/>
          <w:szCs w:val="28"/>
          <w:lang w:val="uk-UA"/>
        </w:rPr>
        <w:t xml:space="preserve">езоплатний або пільговий відпуск </w:t>
      </w:r>
      <w:r>
        <w:rPr>
          <w:rFonts w:ascii="Times New Roman" w:hAnsi="Times New Roman"/>
          <w:sz w:val="28"/>
          <w:szCs w:val="28"/>
          <w:lang w:val="uk-UA"/>
        </w:rPr>
        <w:t xml:space="preserve">лікарських засобів за рецептами </w:t>
      </w:r>
      <w:r w:rsidR="00454677" w:rsidRPr="00294E11">
        <w:rPr>
          <w:rFonts w:ascii="Times New Roman" w:hAnsi="Times New Roman"/>
          <w:sz w:val="28"/>
          <w:szCs w:val="28"/>
          <w:lang w:val="uk-UA"/>
        </w:rPr>
        <w:t>лікарів у разі амбулаторного лікування провадиться групам населення та за категоріями захворювань згідно з додатками 1 і 2.</w:t>
      </w:r>
    </w:p>
    <w:p w:rsidR="00A057C5" w:rsidRPr="00294E11" w:rsidRDefault="00A057C5" w:rsidP="00D6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вищеперерахованих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E11" w:rsidRPr="00294E11" w:rsidRDefault="00294E11" w:rsidP="00D66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7C5" w:rsidRPr="00177450" w:rsidRDefault="00294E11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A057C5" w:rsidRPr="001774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Визначення мети програми</w:t>
      </w:r>
    </w:p>
    <w:p w:rsidR="00A057C5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є об’єднання зусиль сільської ради, виконавчої влади, керівників підприємств, установ, організацій, що здійснюють діяльність на території </w:t>
      </w:r>
      <w:r w:rsidR="00225276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051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 сільської</w:t>
      </w:r>
      <w:r w:rsidR="00225276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 напрямку підвищення стандартів життя, модернізації та зміцнення матеріально-технічної бази закладів охорони здоров’я, оснащення їх необхідним медичним обладнанням, комп′ютерною технікою, автотранспортом, поліпшення умов праці медичних працівників, що допоможе забезпечити сільське населення якісними медичними послугами.</w:t>
      </w:r>
    </w:p>
    <w:p w:rsidR="00CE5542" w:rsidRPr="00294E11" w:rsidRDefault="00CE5542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7C5" w:rsidRPr="00294E11" w:rsidRDefault="00294E11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є 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доступною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накопичувалися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роками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F6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бюджету.</w:t>
      </w:r>
    </w:p>
    <w:p w:rsidR="00A057C5" w:rsidRPr="00294E11" w:rsidRDefault="00A057C5" w:rsidP="00CE55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варіантом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іоритетний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вразливим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верствам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жителям села;</w:t>
      </w:r>
      <w:r w:rsidR="00225276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ікарськими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верств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довголіття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CE5542" w:rsidRDefault="00A057C5" w:rsidP="00CE5542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персоніфікованого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телемедичних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розрахована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реалізацію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3D2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6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E11" w:rsidRPr="00294E11" w:rsidRDefault="00294E11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7C5" w:rsidRPr="00294E11" w:rsidRDefault="00294E11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завдань</w:t>
      </w:r>
      <w:proofErr w:type="spellEnd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результативні</w:t>
      </w:r>
      <w:proofErr w:type="spellEnd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294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показники</w:t>
      </w:r>
      <w:proofErr w:type="spellEnd"/>
    </w:p>
    <w:p w:rsidR="00A057C5" w:rsidRPr="00294E11" w:rsidRDefault="00A057C5" w:rsidP="0029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3051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proofErr w:type="spellEnd"/>
      <w:r w:rsidR="006E3051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на </w:t>
      </w:r>
      <w:r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051"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3051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60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E3051" w:rsidRPr="0029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527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27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гарантована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автотранспортом і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випускників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іоритетний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допомоги;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57C5" w:rsidRPr="00294E11" w:rsidRDefault="00A057C5" w:rsidP="00CE554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7C5" w:rsidRPr="00294E11" w:rsidRDefault="00A057C5" w:rsidP="00CE55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Виконання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ідвищити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несприятливих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демографічних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тенденцій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питому</w:t>
      </w:r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–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лікарями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– 10%;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населенню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високоякісної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карем</w:t>
      </w:r>
      <w:proofErr w:type="spellEnd"/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–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сімейним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лікарем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пацієнтам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спеціалізованої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стаціонарної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подальше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7C5" w:rsidRPr="00294E11" w:rsidRDefault="00A057C5" w:rsidP="00CE554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–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сімейної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рекомендованих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табелів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оснащення</w:t>
      </w:r>
      <w:proofErr w:type="spell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нормативі</w:t>
      </w:r>
      <w:proofErr w:type="gramStart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94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290" w:rsidRPr="00294E11" w:rsidRDefault="00983290" w:rsidP="00CE5542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83290" w:rsidRPr="00294E11" w:rsidSect="0075557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57C5" w:rsidRPr="006E3051" w:rsidRDefault="00294E11" w:rsidP="00983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</w:t>
      </w:r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завдань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первинної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медико-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санітарної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допомоги</w:t>
      </w:r>
      <w:proofErr w:type="spellEnd"/>
      <w:r w:rsidR="00A057C5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3051" w:rsidRPr="006E3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Городищенської сільської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 на </w:t>
      </w:r>
      <w:r w:rsidR="00D577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D664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577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gramStart"/>
      <w:r w:rsidR="00D577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proofErr w:type="gramEnd"/>
      <w:r w:rsidR="00D577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ік</w:t>
      </w:r>
    </w:p>
    <w:p w:rsidR="00983290" w:rsidRPr="006E3051" w:rsidRDefault="00A057C5" w:rsidP="0066237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="00C638A6"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8A6"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="00C638A6"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E3051" w:rsidRPr="006E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Городищенській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охорону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proofErr w:type="gram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ішеннями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спрямування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вказаної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заборонених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6E3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290" w:rsidRPr="006E3051" w:rsidRDefault="00983290" w:rsidP="009832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E1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Pr="006E30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</w:t>
      </w:r>
    </w:p>
    <w:p w:rsidR="00157619" w:rsidRDefault="00983290" w:rsidP="00354C0D">
      <w:pPr>
        <w:tabs>
          <w:tab w:val="left" w:pos="600"/>
          <w:tab w:val="left" w:pos="1830"/>
          <w:tab w:val="left" w:pos="3165"/>
        </w:tabs>
        <w:ind w:right="59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E30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</w:t>
      </w:r>
      <w:r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комунального  підприємства «</w:t>
      </w:r>
      <w:r w:rsidR="0075557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Ківерцівський ЦПМД» </w:t>
      </w:r>
      <w:r w:rsidR="009E5504"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та Горохівський районний центр первинної медико-санітарної допомоги» </w:t>
      </w:r>
      <w:r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983290" w:rsidRPr="00076083" w:rsidRDefault="00983290" w:rsidP="00354C0D">
      <w:pPr>
        <w:tabs>
          <w:tab w:val="left" w:pos="600"/>
          <w:tab w:val="left" w:pos="1830"/>
          <w:tab w:val="left" w:pos="3165"/>
        </w:tabs>
        <w:ind w:right="59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 </w:t>
      </w:r>
      <w:r w:rsidR="00D66475"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2022</w:t>
      </w:r>
      <w:r w:rsidR="009E5504" w:rsidRPr="0007608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рік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9"/>
        <w:gridCol w:w="4961"/>
        <w:gridCol w:w="1276"/>
        <w:gridCol w:w="2551"/>
        <w:gridCol w:w="3544"/>
      </w:tblGrid>
      <w:tr w:rsidR="003D20DA" w:rsidRPr="00076083" w:rsidTr="00187121">
        <w:trPr>
          <w:trHeight w:val="2091"/>
        </w:trPr>
        <w:tc>
          <w:tcPr>
            <w:tcW w:w="548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№ з/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9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Назва напряму діяльності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(пріоритетні завдання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Строк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виконання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заходу</w:t>
            </w:r>
          </w:p>
        </w:tc>
        <w:tc>
          <w:tcPr>
            <w:tcW w:w="2551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544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Орієнтовні обсяги фінансування(вартість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),</w:t>
            </w:r>
          </w:p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тис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proofErr w:type="gram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г</w:t>
            </w:r>
            <w:proofErr w:type="gram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ривень</w:t>
            </w:r>
          </w:p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Всього</w:t>
            </w:r>
          </w:p>
        </w:tc>
      </w:tr>
      <w:tr w:rsidR="003D20DA" w:rsidRPr="00076083" w:rsidTr="003D20DA">
        <w:trPr>
          <w:trHeight w:val="507"/>
        </w:trPr>
        <w:tc>
          <w:tcPr>
            <w:tcW w:w="548" w:type="dxa"/>
          </w:tcPr>
          <w:p w:rsidR="003D20DA" w:rsidRPr="002D0A52" w:rsidRDefault="002D0A52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7390" w:type="dxa"/>
            <w:gridSpan w:val="2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Горохівська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міська рада</w:t>
            </w:r>
          </w:p>
        </w:tc>
        <w:tc>
          <w:tcPr>
            <w:tcW w:w="1276" w:type="dxa"/>
          </w:tcPr>
          <w:p w:rsidR="003D20DA" w:rsidRPr="003D20DA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3D20DA" w:rsidRPr="00076083" w:rsidRDefault="00FF4BB1" w:rsidP="00FF4BB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850,0</w:t>
            </w:r>
          </w:p>
        </w:tc>
      </w:tr>
      <w:tr w:rsidR="00076083" w:rsidRPr="00076083" w:rsidTr="009C7798">
        <w:trPr>
          <w:trHeight w:val="612"/>
        </w:trPr>
        <w:tc>
          <w:tcPr>
            <w:tcW w:w="548" w:type="dxa"/>
            <w:vMerge w:val="restart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429" w:type="dxa"/>
            <w:vMerge w:val="restart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Придбання медикаментів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перев’язувальних матеріалів</w:t>
            </w:r>
          </w:p>
        </w:tc>
        <w:tc>
          <w:tcPr>
            <w:tcW w:w="4961" w:type="dxa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- засоби медичного призначення  </w:t>
            </w:r>
          </w:p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(кало приймачі)</w:t>
            </w:r>
          </w:p>
        </w:tc>
        <w:tc>
          <w:tcPr>
            <w:tcW w:w="1276" w:type="dxa"/>
            <w:vMerge w:val="restart"/>
          </w:tcPr>
          <w:p w:rsidR="009E5504" w:rsidRPr="00076083" w:rsidRDefault="009E5504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E5504" w:rsidRPr="00076083" w:rsidRDefault="00076083" w:rsidP="006E3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  <w:vMerge w:val="restart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Бюджетні кошти </w:t>
            </w:r>
          </w:p>
        </w:tc>
        <w:tc>
          <w:tcPr>
            <w:tcW w:w="3544" w:type="dxa"/>
            <w:vMerge w:val="restart"/>
          </w:tcPr>
          <w:p w:rsidR="009E5504" w:rsidRPr="00076083" w:rsidRDefault="00FF4BB1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lastRenderedPageBreak/>
              <w:t>50,0</w:t>
            </w:r>
          </w:p>
        </w:tc>
      </w:tr>
      <w:tr w:rsidR="00076083" w:rsidRPr="00076083" w:rsidTr="009C7798">
        <w:trPr>
          <w:trHeight w:val="483"/>
        </w:trPr>
        <w:tc>
          <w:tcPr>
            <w:tcW w:w="548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пільгові рецепти (пільгові категорії населення);</w:t>
            </w:r>
          </w:p>
        </w:tc>
        <w:tc>
          <w:tcPr>
            <w:tcW w:w="1276" w:type="dxa"/>
            <w:vMerge/>
          </w:tcPr>
          <w:p w:rsidR="009E5504" w:rsidRPr="00076083" w:rsidRDefault="009E5504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9E5504" w:rsidRPr="00076083" w:rsidRDefault="009E5504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6083" w:rsidRPr="00076083" w:rsidTr="009C7798">
        <w:trPr>
          <w:trHeight w:val="483"/>
        </w:trPr>
        <w:tc>
          <w:tcPr>
            <w:tcW w:w="548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пільгові рецепти (учасники АТО);</w:t>
            </w:r>
          </w:p>
        </w:tc>
        <w:tc>
          <w:tcPr>
            <w:tcW w:w="1276" w:type="dxa"/>
            <w:vMerge/>
          </w:tcPr>
          <w:p w:rsidR="009E5504" w:rsidRPr="00076083" w:rsidRDefault="009E5504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9E5504" w:rsidRPr="00076083" w:rsidRDefault="009E5504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6083" w:rsidRPr="00076083" w:rsidTr="008A24D7">
        <w:trPr>
          <w:trHeight w:val="684"/>
        </w:trPr>
        <w:tc>
          <w:tcPr>
            <w:tcW w:w="548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відшкодування за наркотичні середники та прекурсори.</w:t>
            </w:r>
          </w:p>
        </w:tc>
        <w:tc>
          <w:tcPr>
            <w:tcW w:w="1276" w:type="dxa"/>
            <w:vMerge/>
          </w:tcPr>
          <w:p w:rsidR="009E5504" w:rsidRPr="00076083" w:rsidRDefault="009E5504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E5504" w:rsidRPr="00076083" w:rsidRDefault="009E5504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9E5504" w:rsidRPr="00076083" w:rsidRDefault="009E5504" w:rsidP="00662376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6083" w:rsidRPr="00076083" w:rsidTr="009C7798">
        <w:trPr>
          <w:trHeight w:val="377"/>
        </w:trPr>
        <w:tc>
          <w:tcPr>
            <w:tcW w:w="548" w:type="dxa"/>
            <w:vMerge w:val="restart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429" w:type="dxa"/>
            <w:vMerge w:val="restart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Оплата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комунальних послуг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енергоносії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4961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оплата водопостачання і водовідведення;</w:t>
            </w:r>
          </w:p>
        </w:tc>
        <w:tc>
          <w:tcPr>
            <w:tcW w:w="1276" w:type="dxa"/>
            <w:vMerge w:val="restart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E3051" w:rsidRPr="00076083" w:rsidRDefault="00076083" w:rsidP="006E30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  <w:vMerge w:val="restart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Бюджетні кошти </w:t>
            </w:r>
          </w:p>
        </w:tc>
        <w:tc>
          <w:tcPr>
            <w:tcW w:w="3544" w:type="dxa"/>
            <w:vMerge w:val="restart"/>
          </w:tcPr>
          <w:p w:rsidR="006E3051" w:rsidRPr="00076083" w:rsidRDefault="00FF4BB1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300,0</w:t>
            </w:r>
          </w:p>
        </w:tc>
      </w:tr>
      <w:tr w:rsidR="00076083" w:rsidRPr="00076083" w:rsidTr="009C7798">
        <w:trPr>
          <w:trHeight w:val="300"/>
        </w:trPr>
        <w:tc>
          <w:tcPr>
            <w:tcW w:w="548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оплата електроенергії;</w:t>
            </w:r>
          </w:p>
        </w:tc>
        <w:tc>
          <w:tcPr>
            <w:tcW w:w="1276" w:type="dxa"/>
            <w:vMerge/>
          </w:tcPr>
          <w:p w:rsidR="006E3051" w:rsidRPr="00076083" w:rsidRDefault="006E305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6E3051" w:rsidRPr="00076083" w:rsidRDefault="006E3051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083" w:rsidRPr="00076083" w:rsidTr="009C7798">
        <w:trPr>
          <w:trHeight w:val="300"/>
        </w:trPr>
        <w:tc>
          <w:tcPr>
            <w:tcW w:w="548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-оплата газопостачання;</w:t>
            </w:r>
          </w:p>
        </w:tc>
        <w:tc>
          <w:tcPr>
            <w:tcW w:w="1276" w:type="dxa"/>
            <w:vMerge/>
          </w:tcPr>
          <w:p w:rsidR="006E3051" w:rsidRPr="00076083" w:rsidRDefault="006E305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</w:tcPr>
          <w:p w:rsidR="006E3051" w:rsidRPr="00076083" w:rsidRDefault="006E3051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76083" w:rsidRPr="00076083" w:rsidTr="005B71BF">
        <w:trPr>
          <w:trHeight w:val="1120"/>
        </w:trPr>
        <w:tc>
          <w:tcPr>
            <w:tcW w:w="548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429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Видатки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на оплату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4961" w:type="dxa"/>
          </w:tcPr>
          <w:p w:rsidR="006E3051" w:rsidRPr="00076083" w:rsidRDefault="006E3051" w:rsidP="0022527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згідно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штатного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розпису (заробітна плата і нарахування на оплату праці 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для</w:t>
            </w:r>
            <w:proofErr w:type="gram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 фельдшерів)</w:t>
            </w:r>
          </w:p>
        </w:tc>
        <w:tc>
          <w:tcPr>
            <w:tcW w:w="1276" w:type="dxa"/>
          </w:tcPr>
          <w:p w:rsidR="006E3051" w:rsidRPr="00076083" w:rsidRDefault="006E305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E3051" w:rsidRPr="00076083" w:rsidRDefault="00076083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E3051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Бюджетні кошти </w:t>
            </w:r>
          </w:p>
        </w:tc>
        <w:tc>
          <w:tcPr>
            <w:tcW w:w="3544" w:type="dxa"/>
          </w:tcPr>
          <w:p w:rsidR="006E3051" w:rsidRPr="00076083" w:rsidRDefault="00FF4BB1" w:rsidP="009C7798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500,00</w:t>
            </w:r>
          </w:p>
        </w:tc>
      </w:tr>
      <w:tr w:rsidR="00076083" w:rsidRPr="00076083" w:rsidTr="00CE5542">
        <w:trPr>
          <w:trHeight w:val="1695"/>
        </w:trPr>
        <w:tc>
          <w:tcPr>
            <w:tcW w:w="548" w:type="dxa"/>
          </w:tcPr>
          <w:p w:rsidR="00983290" w:rsidRPr="00076083" w:rsidRDefault="006E305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  <w:r w:rsidR="00983290"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29" w:type="dxa"/>
          </w:tcPr>
          <w:p w:rsidR="00983290" w:rsidRPr="00076083" w:rsidRDefault="00983290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Капітальні видатки </w:t>
            </w:r>
          </w:p>
        </w:tc>
        <w:tc>
          <w:tcPr>
            <w:tcW w:w="4961" w:type="dxa"/>
          </w:tcPr>
          <w:p w:rsidR="00983290" w:rsidRPr="00076083" w:rsidRDefault="00983290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придбання обладнання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0C561D"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для забезпечення </w:t>
            </w:r>
            <w:proofErr w:type="spellStart"/>
            <w:r w:rsidR="000C561D"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телемедицини</w:t>
            </w:r>
            <w:proofErr w:type="spellEnd"/>
          </w:p>
          <w:p w:rsidR="00983290" w:rsidRPr="00076083" w:rsidRDefault="00983290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-реконструкція та капітальний ремонт нежитлових приміщень;</w:t>
            </w:r>
          </w:p>
        </w:tc>
        <w:tc>
          <w:tcPr>
            <w:tcW w:w="1276" w:type="dxa"/>
          </w:tcPr>
          <w:p w:rsidR="00983290" w:rsidRPr="00076083" w:rsidRDefault="00983290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83290" w:rsidRPr="00076083" w:rsidRDefault="00076083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983290" w:rsidRPr="00076083" w:rsidRDefault="00983290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983290" w:rsidRPr="00076083" w:rsidRDefault="00983290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983290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0,00</w:t>
            </w:r>
          </w:p>
        </w:tc>
      </w:tr>
      <w:tr w:rsidR="003D20DA" w:rsidRPr="00076083" w:rsidTr="008A24D7">
        <w:trPr>
          <w:trHeight w:val="362"/>
        </w:trPr>
        <w:tc>
          <w:tcPr>
            <w:tcW w:w="548" w:type="dxa"/>
          </w:tcPr>
          <w:p w:rsidR="003D20DA" w:rsidRPr="00076083" w:rsidRDefault="002D0A52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7390" w:type="dxa"/>
            <w:gridSpan w:val="2"/>
          </w:tcPr>
          <w:p w:rsidR="003D20DA" w:rsidRPr="00076083" w:rsidRDefault="003D20DA" w:rsidP="008A24D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Ківерцівська міська рада</w:t>
            </w:r>
          </w:p>
        </w:tc>
        <w:tc>
          <w:tcPr>
            <w:tcW w:w="1276" w:type="dxa"/>
          </w:tcPr>
          <w:p w:rsidR="003D20DA" w:rsidRDefault="003D20DA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  <w:p w:rsidR="003D20DA" w:rsidRPr="00076083" w:rsidRDefault="003D20DA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D20DA" w:rsidRPr="00076083" w:rsidRDefault="002D0A52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3D20DA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413,2</w:t>
            </w:r>
          </w:p>
        </w:tc>
      </w:tr>
      <w:tr w:rsidR="00FF4BB1" w:rsidRPr="00076083" w:rsidTr="008A24D7">
        <w:trPr>
          <w:trHeight w:val="1115"/>
        </w:trPr>
        <w:tc>
          <w:tcPr>
            <w:tcW w:w="548" w:type="dxa"/>
            <w:vMerge w:val="restart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29" w:type="dxa"/>
            <w:vMerge w:val="restart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Придбання медикаментів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перев’язувальних 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lastRenderedPageBreak/>
              <w:t>матеріалів</w:t>
            </w: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lastRenderedPageBreak/>
              <w:t xml:space="preserve">- засоби медичного призначення  </w:t>
            </w:r>
          </w:p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(кало приймачі)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 w:val="restart"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100,00</w:t>
            </w:r>
          </w:p>
        </w:tc>
      </w:tr>
      <w:tr w:rsidR="00FF4BB1" w:rsidRPr="00076083" w:rsidTr="003D20DA">
        <w:trPr>
          <w:trHeight w:val="841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пільгові рецепти (пільгові категорії населення);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F4BB1" w:rsidRPr="00076083" w:rsidTr="003D20DA">
        <w:trPr>
          <w:trHeight w:val="585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пільгові рецепти (учасники АТО);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F4BB1" w:rsidRPr="00076083" w:rsidTr="003D20DA">
        <w:trPr>
          <w:trHeight w:val="706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відшкодування за наркотичні середники та прекурсори.</w:t>
            </w:r>
          </w:p>
        </w:tc>
        <w:tc>
          <w:tcPr>
            <w:tcW w:w="1276" w:type="dxa"/>
          </w:tcPr>
          <w:p w:rsidR="00FF4BB1" w:rsidRPr="002D0A52" w:rsidRDefault="00FF4BB1" w:rsidP="009C77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F4BB1" w:rsidRPr="00076083" w:rsidTr="008A24D7">
        <w:trPr>
          <w:trHeight w:val="753"/>
        </w:trPr>
        <w:tc>
          <w:tcPr>
            <w:tcW w:w="548" w:type="dxa"/>
            <w:vMerge w:val="restart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29" w:type="dxa"/>
            <w:vMerge w:val="restart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Оплата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комунальних послуг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енергоносії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оплата водопостачання і водовідведення;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 w:val="restart"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0,00</w:t>
            </w:r>
          </w:p>
        </w:tc>
      </w:tr>
      <w:tr w:rsidR="00FF4BB1" w:rsidRPr="00076083" w:rsidTr="00AF6B81">
        <w:trPr>
          <w:trHeight w:val="508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оплата електроенергії;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F4BB1" w:rsidRPr="00076083" w:rsidTr="00AF6B81">
        <w:trPr>
          <w:trHeight w:val="501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-оплата газопостачання;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F6B81" w:rsidRPr="00076083" w:rsidTr="008A24D7">
        <w:trPr>
          <w:trHeight w:val="1194"/>
        </w:trPr>
        <w:tc>
          <w:tcPr>
            <w:tcW w:w="548" w:type="dxa"/>
          </w:tcPr>
          <w:p w:rsidR="00AF6B81" w:rsidRPr="00076083" w:rsidRDefault="008A24D7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29" w:type="dxa"/>
          </w:tcPr>
          <w:p w:rsidR="00AF6B81" w:rsidRPr="00076083" w:rsidRDefault="00AF6B8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Видатки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на оплату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4961" w:type="dxa"/>
          </w:tcPr>
          <w:p w:rsidR="00AF6B81" w:rsidRPr="00076083" w:rsidRDefault="00AF6B8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згідно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штатного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розпису (заробітна плата і нарахування на оплату праці 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для</w:t>
            </w:r>
            <w:proofErr w:type="gram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 фельдшерів)</w:t>
            </w:r>
          </w:p>
        </w:tc>
        <w:tc>
          <w:tcPr>
            <w:tcW w:w="1276" w:type="dxa"/>
          </w:tcPr>
          <w:p w:rsidR="00AF6B81" w:rsidRPr="00076083" w:rsidRDefault="00AF6B81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B81" w:rsidRPr="00076083" w:rsidRDefault="00AF6B81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AF6B81" w:rsidRPr="00076083" w:rsidRDefault="00AF6B81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F6B81" w:rsidRPr="00076083" w:rsidRDefault="00AF6B81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Бюджетні кошти </w:t>
            </w:r>
          </w:p>
        </w:tc>
        <w:tc>
          <w:tcPr>
            <w:tcW w:w="3544" w:type="dxa"/>
          </w:tcPr>
          <w:p w:rsidR="00AF6B8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313,2</w:t>
            </w:r>
          </w:p>
        </w:tc>
      </w:tr>
      <w:tr w:rsidR="00636DFC" w:rsidRPr="00076083" w:rsidTr="008A24D7">
        <w:trPr>
          <w:trHeight w:val="549"/>
        </w:trPr>
        <w:tc>
          <w:tcPr>
            <w:tcW w:w="548" w:type="dxa"/>
          </w:tcPr>
          <w:p w:rsidR="00636DFC" w:rsidRPr="00076083" w:rsidRDefault="008A24D7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429" w:type="dxa"/>
          </w:tcPr>
          <w:p w:rsidR="00636DFC" w:rsidRPr="00076083" w:rsidRDefault="00636DFC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Капітальні видатки </w:t>
            </w:r>
          </w:p>
        </w:tc>
        <w:tc>
          <w:tcPr>
            <w:tcW w:w="4961" w:type="dxa"/>
          </w:tcPr>
          <w:p w:rsidR="00636DFC" w:rsidRPr="00076083" w:rsidRDefault="00636DFC" w:rsidP="008A24D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придбання обладнання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для забезпечення </w:t>
            </w:r>
            <w:proofErr w:type="spell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телемедицини-реконструкція</w:t>
            </w:r>
            <w:proofErr w:type="spell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та капітальний ремонт нежитлових приміщень;</w:t>
            </w:r>
          </w:p>
        </w:tc>
        <w:tc>
          <w:tcPr>
            <w:tcW w:w="1276" w:type="dxa"/>
          </w:tcPr>
          <w:p w:rsidR="00636DFC" w:rsidRPr="00076083" w:rsidRDefault="00636DFC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6DFC" w:rsidRPr="00076083" w:rsidRDefault="00636DFC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636DFC" w:rsidRPr="00076083" w:rsidRDefault="00636DFC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636DFC" w:rsidRPr="00076083" w:rsidRDefault="00636DFC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636DFC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0,00</w:t>
            </w:r>
          </w:p>
        </w:tc>
      </w:tr>
      <w:tr w:rsidR="00636DFC" w:rsidRPr="00076083" w:rsidTr="00636DFC">
        <w:trPr>
          <w:trHeight w:val="517"/>
        </w:trPr>
        <w:tc>
          <w:tcPr>
            <w:tcW w:w="548" w:type="dxa"/>
          </w:tcPr>
          <w:p w:rsidR="00636DFC" w:rsidRPr="00076083" w:rsidRDefault="008A24D7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7390" w:type="dxa"/>
            <w:gridSpan w:val="2"/>
          </w:tcPr>
          <w:p w:rsidR="00636DFC" w:rsidRPr="00076083" w:rsidRDefault="00636DFC" w:rsidP="008A24D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Підгайцівська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територіальна громада</w:t>
            </w:r>
          </w:p>
        </w:tc>
        <w:tc>
          <w:tcPr>
            <w:tcW w:w="1276" w:type="dxa"/>
          </w:tcPr>
          <w:p w:rsidR="00636DFC" w:rsidRPr="00076083" w:rsidRDefault="002D0A52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636DFC" w:rsidRPr="00076083" w:rsidRDefault="002D0A52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636DFC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289,7</w:t>
            </w:r>
          </w:p>
        </w:tc>
      </w:tr>
      <w:tr w:rsidR="00FF4BB1" w:rsidRPr="00076083" w:rsidTr="00636DFC">
        <w:trPr>
          <w:trHeight w:val="781"/>
        </w:trPr>
        <w:tc>
          <w:tcPr>
            <w:tcW w:w="548" w:type="dxa"/>
            <w:vMerge w:val="restart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429" w:type="dxa"/>
            <w:vMerge w:val="restart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Оплата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комунальних 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lastRenderedPageBreak/>
              <w:t>послуг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та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енергоносії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</w:t>
            </w:r>
            <w:proofErr w:type="gramEnd"/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lastRenderedPageBreak/>
              <w:t>- оплата водопостачання і водовідведення;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 w:val="restart"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289,7</w:t>
            </w:r>
          </w:p>
        </w:tc>
      </w:tr>
      <w:tr w:rsidR="00FF4BB1" w:rsidRPr="00076083" w:rsidTr="00636DFC">
        <w:trPr>
          <w:trHeight w:val="540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оплата електроенергії;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F4BB1" w:rsidRPr="00076083" w:rsidTr="00636DFC">
        <w:trPr>
          <w:trHeight w:val="520"/>
        </w:trPr>
        <w:tc>
          <w:tcPr>
            <w:tcW w:w="548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29" w:type="dxa"/>
            <w:vMerge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F4BB1" w:rsidRPr="00076083" w:rsidRDefault="00FF4BB1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-оплата газопостачання;</w:t>
            </w:r>
          </w:p>
        </w:tc>
        <w:tc>
          <w:tcPr>
            <w:tcW w:w="1276" w:type="dxa"/>
          </w:tcPr>
          <w:p w:rsidR="00FF4BB1" w:rsidRPr="00076083" w:rsidRDefault="00FF4BB1" w:rsidP="009C77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FF4BB1" w:rsidRPr="00076083" w:rsidRDefault="00FF4BB1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  <w:vMerge/>
          </w:tcPr>
          <w:p w:rsidR="00FF4BB1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C4693" w:rsidRPr="00076083" w:rsidTr="008A24D7">
        <w:trPr>
          <w:trHeight w:val="1120"/>
        </w:trPr>
        <w:tc>
          <w:tcPr>
            <w:tcW w:w="548" w:type="dxa"/>
          </w:tcPr>
          <w:p w:rsidR="00CC4693" w:rsidRPr="00076083" w:rsidRDefault="008A24D7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29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Видатки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на оплату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4961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згідно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штатного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розпису (заробітна плата і нарахування на оплату праці </w:t>
            </w:r>
            <w:proofErr w:type="gram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для</w:t>
            </w:r>
            <w:proofErr w:type="gramEnd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  фельдшерів)</w:t>
            </w:r>
          </w:p>
        </w:tc>
        <w:tc>
          <w:tcPr>
            <w:tcW w:w="1276" w:type="dxa"/>
          </w:tcPr>
          <w:p w:rsidR="00CC4693" w:rsidRPr="00076083" w:rsidRDefault="00CC4693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C4693" w:rsidRPr="00076083" w:rsidRDefault="00CC4693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C4693" w:rsidRPr="00076083" w:rsidRDefault="00CC4693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Бюджетні кошти </w:t>
            </w:r>
          </w:p>
        </w:tc>
        <w:tc>
          <w:tcPr>
            <w:tcW w:w="3544" w:type="dxa"/>
          </w:tcPr>
          <w:p w:rsidR="00CC4693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0,00</w:t>
            </w:r>
          </w:p>
        </w:tc>
      </w:tr>
      <w:tr w:rsidR="00CC4693" w:rsidRPr="00076083" w:rsidTr="00CE5542">
        <w:trPr>
          <w:trHeight w:val="1695"/>
        </w:trPr>
        <w:tc>
          <w:tcPr>
            <w:tcW w:w="548" w:type="dxa"/>
          </w:tcPr>
          <w:p w:rsidR="00CC4693" w:rsidRPr="00076083" w:rsidRDefault="008A24D7" w:rsidP="009C779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29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Капітальні видатки </w:t>
            </w:r>
          </w:p>
        </w:tc>
        <w:tc>
          <w:tcPr>
            <w:tcW w:w="4961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 придбання обладнання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 xml:space="preserve">для забезпечення </w:t>
            </w:r>
            <w:proofErr w:type="spellStart"/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телемедицини</w:t>
            </w:r>
            <w:proofErr w:type="spellEnd"/>
          </w:p>
          <w:p w:rsidR="00CC4693" w:rsidRPr="00076083" w:rsidRDefault="00CC4693" w:rsidP="00314B55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-реконструкція та капітальний ремонт нежитлових приміщень;</w:t>
            </w:r>
          </w:p>
        </w:tc>
        <w:tc>
          <w:tcPr>
            <w:tcW w:w="1276" w:type="dxa"/>
          </w:tcPr>
          <w:p w:rsidR="00CC4693" w:rsidRPr="00076083" w:rsidRDefault="00CC4693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C4693" w:rsidRPr="00076083" w:rsidRDefault="00CC4693" w:rsidP="00314B5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CC4693" w:rsidRPr="00076083" w:rsidRDefault="00CC4693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CC4693" w:rsidRPr="00076083" w:rsidRDefault="00CC4693" w:rsidP="00314B5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CC4693" w:rsidRPr="00076083" w:rsidRDefault="00FF4BB1" w:rsidP="006E305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0,00</w:t>
            </w:r>
          </w:p>
        </w:tc>
      </w:tr>
      <w:tr w:rsidR="00CC4693" w:rsidRPr="00076083" w:rsidTr="009C7798">
        <w:trPr>
          <w:trHeight w:val="146"/>
        </w:trPr>
        <w:tc>
          <w:tcPr>
            <w:tcW w:w="548" w:type="dxa"/>
          </w:tcPr>
          <w:p w:rsidR="00CC4693" w:rsidRPr="00076083" w:rsidRDefault="00CC4693" w:rsidP="009C7798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7390" w:type="dxa"/>
            <w:gridSpan w:val="2"/>
          </w:tcPr>
          <w:p w:rsidR="00CC4693" w:rsidRPr="00076083" w:rsidRDefault="00CC4693" w:rsidP="009C7798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CC4693" w:rsidRPr="00076083" w:rsidRDefault="008A24D7" w:rsidP="009C7798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1" w:type="dxa"/>
          </w:tcPr>
          <w:p w:rsidR="00CC4693" w:rsidRPr="00076083" w:rsidRDefault="008A24D7" w:rsidP="009C7798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76083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Бюджетні кошти</w:t>
            </w:r>
          </w:p>
        </w:tc>
        <w:tc>
          <w:tcPr>
            <w:tcW w:w="3544" w:type="dxa"/>
          </w:tcPr>
          <w:p w:rsidR="00CC4693" w:rsidRPr="00076083" w:rsidRDefault="00FF4BB1" w:rsidP="006533F2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1552,9</w:t>
            </w:r>
          </w:p>
        </w:tc>
      </w:tr>
    </w:tbl>
    <w:p w:rsidR="00A057C5" w:rsidRPr="00076083" w:rsidRDefault="00A057C5" w:rsidP="00983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Обсяг вказаних видатків є орієнтовним і визначається рішеннями </w:t>
      </w:r>
      <w:r w:rsidR="006E3051"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Городищенської сільської </w:t>
      </w:r>
      <w:r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ради, або про внесення змін до показників на відповідний бюджетний рік даної сільської ради.</w:t>
      </w:r>
    </w:p>
    <w:p w:rsidR="00A057C5" w:rsidRPr="00076083" w:rsidRDefault="00294E11" w:rsidP="00A05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6</w:t>
      </w:r>
      <w:r w:rsidR="00A057C5"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proofErr w:type="spellStart"/>
      <w:r w:rsidR="00A057C5"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Координація</w:t>
      </w:r>
      <w:proofErr w:type="spellEnd"/>
      <w:r w:rsidR="00A057C5"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та </w:t>
      </w:r>
      <w:proofErr w:type="gramStart"/>
      <w:r w:rsidR="00A057C5"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 за</w:t>
      </w:r>
      <w:proofErr w:type="gramEnd"/>
      <w:r w:rsidR="00A057C5" w:rsidRPr="000760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ходом виконання програми</w:t>
      </w:r>
    </w:p>
    <w:p w:rsidR="00A057C5" w:rsidRPr="00076083" w:rsidRDefault="00A057C5" w:rsidP="00C638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Координацію та контроль за ходом виконання Програми розвитку первинної медико-санітарної допомоги </w:t>
      </w:r>
      <w:r w:rsidR="006E3051"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Городищенської сільської </w:t>
      </w:r>
      <w:r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ради здійснює </w:t>
      </w:r>
      <w:r w:rsidR="006E3051" w:rsidRPr="0007608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сільський голова.</w:t>
      </w:r>
    </w:p>
    <w:sectPr w:rsidR="00A057C5" w:rsidRPr="00076083" w:rsidSect="00983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8B9"/>
    <w:multiLevelType w:val="multilevel"/>
    <w:tmpl w:val="D454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F8C"/>
    <w:multiLevelType w:val="hybridMultilevel"/>
    <w:tmpl w:val="7690F070"/>
    <w:lvl w:ilvl="0" w:tplc="B1EAE6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138"/>
    <w:multiLevelType w:val="hybridMultilevel"/>
    <w:tmpl w:val="A77CE2C8"/>
    <w:lvl w:ilvl="0" w:tplc="8468F4A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8EF3621"/>
    <w:multiLevelType w:val="multilevel"/>
    <w:tmpl w:val="02FE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4B94"/>
    <w:multiLevelType w:val="hybridMultilevel"/>
    <w:tmpl w:val="251AE3BE"/>
    <w:lvl w:ilvl="0" w:tplc="ED569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36A5"/>
    <w:multiLevelType w:val="multilevel"/>
    <w:tmpl w:val="519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10353"/>
    <w:multiLevelType w:val="hybridMultilevel"/>
    <w:tmpl w:val="1FFA24CE"/>
    <w:lvl w:ilvl="0" w:tplc="89B46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7C5"/>
    <w:rsid w:val="00012A29"/>
    <w:rsid w:val="00014A5A"/>
    <w:rsid w:val="00076083"/>
    <w:rsid w:val="000C5125"/>
    <w:rsid w:val="000C561D"/>
    <w:rsid w:val="000C7524"/>
    <w:rsid w:val="0015222E"/>
    <w:rsid w:val="00157619"/>
    <w:rsid w:val="001734CD"/>
    <w:rsid w:val="00177450"/>
    <w:rsid w:val="001B7212"/>
    <w:rsid w:val="001F4432"/>
    <w:rsid w:val="00225276"/>
    <w:rsid w:val="002537C1"/>
    <w:rsid w:val="00294E11"/>
    <w:rsid w:val="002D0A52"/>
    <w:rsid w:val="00354C0D"/>
    <w:rsid w:val="00357B3B"/>
    <w:rsid w:val="003D20DA"/>
    <w:rsid w:val="00423EDF"/>
    <w:rsid w:val="00454677"/>
    <w:rsid w:val="004F3073"/>
    <w:rsid w:val="00500A54"/>
    <w:rsid w:val="005127AC"/>
    <w:rsid w:val="005272FD"/>
    <w:rsid w:val="005B6B70"/>
    <w:rsid w:val="005C56A9"/>
    <w:rsid w:val="00636DFC"/>
    <w:rsid w:val="006533F2"/>
    <w:rsid w:val="00662376"/>
    <w:rsid w:val="00670EA2"/>
    <w:rsid w:val="006E3051"/>
    <w:rsid w:val="0075557A"/>
    <w:rsid w:val="007F09DB"/>
    <w:rsid w:val="007F2D5C"/>
    <w:rsid w:val="008A24D7"/>
    <w:rsid w:val="00934E22"/>
    <w:rsid w:val="00983290"/>
    <w:rsid w:val="009A6D60"/>
    <w:rsid w:val="009E5504"/>
    <w:rsid w:val="00A057C5"/>
    <w:rsid w:val="00AC21E9"/>
    <w:rsid w:val="00AD768C"/>
    <w:rsid w:val="00AF6B81"/>
    <w:rsid w:val="00C638A6"/>
    <w:rsid w:val="00C9014A"/>
    <w:rsid w:val="00CC4693"/>
    <w:rsid w:val="00CE3DFF"/>
    <w:rsid w:val="00CE5542"/>
    <w:rsid w:val="00D5776B"/>
    <w:rsid w:val="00D66475"/>
    <w:rsid w:val="00D86443"/>
    <w:rsid w:val="00DF717E"/>
    <w:rsid w:val="00E91763"/>
    <w:rsid w:val="00F628B1"/>
    <w:rsid w:val="00FF0326"/>
    <w:rsid w:val="00FF4BB1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7C5"/>
    <w:rPr>
      <w:b/>
      <w:bCs/>
    </w:rPr>
  </w:style>
  <w:style w:type="character" w:styleId="a5">
    <w:name w:val="Hyperlink"/>
    <w:basedOn w:val="a0"/>
    <w:uiPriority w:val="99"/>
    <w:semiHidden/>
    <w:unhideWhenUsed/>
    <w:rsid w:val="00A057C5"/>
    <w:rPr>
      <w:color w:val="0000FF"/>
      <w:u w:val="single"/>
    </w:rPr>
  </w:style>
  <w:style w:type="character" w:customStyle="1" w:styleId="mpsoondata">
    <w:name w:val="mp_soon_data"/>
    <w:basedOn w:val="a0"/>
    <w:rsid w:val="00A057C5"/>
  </w:style>
  <w:style w:type="paragraph" w:styleId="a6">
    <w:name w:val="Balloon Text"/>
    <w:basedOn w:val="a"/>
    <w:link w:val="a7"/>
    <w:uiPriority w:val="99"/>
    <w:semiHidden/>
    <w:unhideWhenUsed/>
    <w:rsid w:val="00A0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7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329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294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9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E20C-0159-4A3C-A5DC-AA68D5DA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Retired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Admin</cp:lastModifiedBy>
  <cp:revision>45</cp:revision>
  <cp:lastPrinted>2021-12-28T14:01:00Z</cp:lastPrinted>
  <dcterms:created xsi:type="dcterms:W3CDTF">2020-12-23T20:28:00Z</dcterms:created>
  <dcterms:modified xsi:type="dcterms:W3CDTF">2022-01-06T09:20:00Z</dcterms:modified>
</cp:coreProperties>
</file>